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AD2" w:rsidRDefault="005B6AD2"/>
    <w:p w:rsidR="00D717A7" w:rsidRPr="00EC2CE5" w:rsidRDefault="00D717A7" w:rsidP="00EC2CE5">
      <w:pPr>
        <w:jc w:val="center"/>
        <w:rPr>
          <w:b/>
          <w:sz w:val="28"/>
          <w:szCs w:val="28"/>
        </w:rPr>
      </w:pPr>
      <w:r w:rsidRPr="00066D42">
        <w:rPr>
          <w:b/>
          <w:sz w:val="28"/>
          <w:szCs w:val="28"/>
        </w:rPr>
        <w:t xml:space="preserve">Výroční zpráva o činnosti Obecního úřadu </w:t>
      </w:r>
      <w:r>
        <w:rPr>
          <w:b/>
          <w:sz w:val="28"/>
          <w:szCs w:val="28"/>
        </w:rPr>
        <w:t>Adamov</w:t>
      </w:r>
      <w:r w:rsidRPr="00066D42">
        <w:rPr>
          <w:b/>
          <w:sz w:val="28"/>
          <w:szCs w:val="28"/>
        </w:rPr>
        <w:t xml:space="preserve"> v oblasti poskytování informací dle zákona č. 106/1999 Sb., o svobodném přístupu k informacím, v platném znění, za rok 20</w:t>
      </w:r>
      <w:r>
        <w:rPr>
          <w:b/>
          <w:sz w:val="28"/>
          <w:szCs w:val="28"/>
        </w:rPr>
        <w:t>19</w:t>
      </w:r>
    </w:p>
    <w:p w:rsidR="00D717A7" w:rsidRDefault="00D717A7" w:rsidP="00B041CB">
      <w:pPr>
        <w:spacing w:after="0"/>
      </w:pPr>
      <w:r>
        <w:t>Obecní úřad Adamov jako povinný subjekt dle zákona č. 106/1999 Sb., o svobodném přístupu k informacím, v platném znění (dále jen zákon), v souladu s ustanovením § 18 zákona předkládá ke zveřejnění následující údaje, které se týkají jeho činnosti v oblasti poskytování informací v roce 2019, podle zákona č. 106/1999 Sb., v platném znění.</w:t>
      </w:r>
    </w:p>
    <w:p w:rsidR="00EC2CE5" w:rsidRPr="00EC2CE5" w:rsidRDefault="00EC2CE5" w:rsidP="00B041CB">
      <w:pPr>
        <w:spacing w:before="120" w:after="0" w:line="383" w:lineRule="atLeast"/>
        <w:ind w:hanging="360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b/>
          <w:bCs/>
          <w:color w:val="444444"/>
          <w:sz w:val="20"/>
          <w:szCs w:val="20"/>
          <w:lang w:eastAsia="cs-CZ"/>
        </w:rPr>
        <w:t>1. Počet podaných žádostí o informace a počet vydaných rozhodnutí o odmítnutí žádosti - § 18 odst. 1 písm. a) zákona č. 106/1999 Sb.</w:t>
      </w:r>
    </w:p>
    <w:p w:rsidR="00EC2CE5" w:rsidRPr="00EC2CE5" w:rsidRDefault="00EC2CE5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V p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r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ůběhu roku 201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9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obec obdržela celkem 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0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písemných žádostí o poskytnutí informace a 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ne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bylo vydáno rozhodnutí o odmítnutí žádosti nebo její části. </w:t>
      </w:r>
    </w:p>
    <w:p w:rsidR="00EC2CE5" w:rsidRPr="00EC2CE5" w:rsidRDefault="00EC2CE5" w:rsidP="00B041CB">
      <w:pPr>
        <w:spacing w:before="120" w:after="0" w:line="383" w:lineRule="atLeast"/>
        <w:ind w:hanging="360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b/>
          <w:bCs/>
          <w:color w:val="444444"/>
          <w:sz w:val="20"/>
          <w:szCs w:val="20"/>
          <w:lang w:eastAsia="cs-CZ"/>
        </w:rPr>
        <w:t>2. Počet podaných odvolání proti rozhodnutí o odmítnutí žádosti nebo její části - § 18 odst. 1 písm. b) zákona č. 106/1999 Sb.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 </w:t>
      </w:r>
    </w:p>
    <w:p w:rsidR="00EC2CE5" w:rsidRPr="00EC2CE5" w:rsidRDefault="00EC2CE5" w:rsidP="00B041CB">
      <w:pPr>
        <w:spacing w:after="0" w:line="383" w:lineRule="atLeast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Nebyla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podán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a žádná 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odvolání proti rozhodnutí o odmítnutí</w:t>
      </w:r>
      <w:r w:rsidR="00B041CB"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žádosti.                                              </w:t>
      </w:r>
    </w:p>
    <w:p w:rsidR="00EC2CE5" w:rsidRPr="00EC2CE5" w:rsidRDefault="00EC2CE5" w:rsidP="00B041CB">
      <w:pPr>
        <w:spacing w:before="120" w:after="0" w:line="383" w:lineRule="atLeast"/>
        <w:ind w:hanging="360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b/>
          <w:bCs/>
          <w:color w:val="444444"/>
          <w:sz w:val="20"/>
          <w:szCs w:val="20"/>
          <w:lang w:eastAsia="cs-CZ"/>
        </w:rPr>
        <w:t>3.  Opis podstatných částí každého rozsudku soudu - § 18 odst. 1 písm. c) zákona č. 106/1999 Sb.</w:t>
      </w:r>
    </w:p>
    <w:p w:rsidR="00EC2CE5" w:rsidRPr="00EC2CE5" w:rsidRDefault="00EC2CE5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Soud nepřezkoumával žádné rozhodnutí o odmítnutí žádosti o poskytnutí informace.</w:t>
      </w:r>
    </w:p>
    <w:p w:rsidR="00EC2CE5" w:rsidRPr="00EC2CE5" w:rsidRDefault="00EC2CE5" w:rsidP="00B041CB">
      <w:pPr>
        <w:spacing w:before="120" w:after="0" w:line="383" w:lineRule="atLeast"/>
        <w:ind w:hanging="360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b/>
          <w:bCs/>
          <w:color w:val="444444"/>
          <w:sz w:val="20"/>
          <w:szCs w:val="20"/>
          <w:lang w:eastAsia="cs-CZ"/>
        </w:rPr>
        <w:t>4. Výčet poskytnutých výhradních licencí - § 18 odst. 1 písm. d) zákona č. 106/1999 Sb.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 </w:t>
      </w:r>
    </w:p>
    <w:p w:rsidR="00EC2CE5" w:rsidRPr="00EC2CE5" w:rsidRDefault="00EC2CE5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V roce 201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9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nebyla poskytnuta žádná výhradní licence.</w:t>
      </w:r>
    </w:p>
    <w:p w:rsidR="00EC2CE5" w:rsidRPr="00EC2CE5" w:rsidRDefault="00EC2CE5" w:rsidP="00B041CB">
      <w:pPr>
        <w:spacing w:before="120" w:after="0" w:line="383" w:lineRule="atLeast"/>
        <w:ind w:hanging="360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b/>
          <w:bCs/>
          <w:color w:val="444444"/>
          <w:sz w:val="20"/>
          <w:szCs w:val="20"/>
          <w:lang w:eastAsia="cs-CZ"/>
        </w:rPr>
        <w:t>5. Počet stížností podaných podle § 16a zákona č. 106/1999 Sb., důvody jejich podání a stručný popis způsobu jejich vyřízení - § 18 odst. 1 písm. e) zákona č. 106/1999 Sb.</w:t>
      </w:r>
    </w:p>
    <w:p w:rsidR="00EC2CE5" w:rsidRPr="00B041CB" w:rsidRDefault="00EC2CE5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S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tížnost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i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na postup při vyřizování žádosti o informace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žádné podané.</w:t>
      </w:r>
    </w:p>
    <w:p w:rsidR="00EC2CE5" w:rsidRPr="00EC2CE5" w:rsidRDefault="00EC2CE5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Webová stránka obce www.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adamov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.cz poskytuje občanům velké množství informací o činnosti orgánů obce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. V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e zvláštním </w:t>
      </w:r>
      <w:proofErr w:type="gramStart"/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oddíle 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-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Povinně</w:t>
      </w:r>
      <w:proofErr w:type="gramEnd"/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zveřejňované informace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-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jsou umístěny všechny povinně zveřejňované informace.</w:t>
      </w:r>
    </w:p>
    <w:p w:rsidR="00B041CB" w:rsidRDefault="00EC2CE5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br/>
        <w:t>V 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Adamově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dne 2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8</w:t>
      </w:r>
      <w:r w:rsidRPr="00EC2CE5">
        <w:rPr>
          <w:rFonts w:ascii="Verdana" w:eastAsia="Times New Roman" w:hAnsi="Verdana"/>
          <w:color w:val="444444"/>
          <w:sz w:val="20"/>
          <w:szCs w:val="20"/>
          <w:lang w:eastAsia="cs-CZ"/>
        </w:rPr>
        <w:t>.2.20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20</w:t>
      </w:r>
      <w:r w:rsid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                             </w:t>
      </w:r>
      <w:r w:rsidR="00B041CB"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Anna Doležálkov</w:t>
      </w:r>
      <w:r w:rsid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á</w:t>
      </w:r>
    </w:p>
    <w:p w:rsidR="00B041CB" w:rsidRPr="00B041CB" w:rsidRDefault="00B041CB" w:rsidP="00B041CB">
      <w:pPr>
        <w:spacing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                                                                  </w:t>
      </w: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starosta obce Adamov</w:t>
      </w:r>
    </w:p>
    <w:p w:rsidR="00B041CB" w:rsidRDefault="00EC2CE5" w:rsidP="00B041CB">
      <w:pPr>
        <w:spacing w:before="120" w:after="0" w:line="383" w:lineRule="atLeast"/>
        <w:jc w:val="both"/>
        <w:rPr>
          <w:rFonts w:ascii="Verdana" w:eastAsia="Times New Roman" w:hAnsi="Verdana"/>
          <w:color w:val="444444"/>
          <w:sz w:val="20"/>
          <w:szCs w:val="20"/>
          <w:lang w:eastAsia="cs-CZ"/>
        </w:rPr>
      </w:pPr>
      <w:r w:rsidRP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>Vyvěšeno: 28.2.2020</w:t>
      </w:r>
      <w:r w:rsidR="00B041CB">
        <w:rPr>
          <w:rFonts w:ascii="Verdana" w:eastAsia="Times New Roman" w:hAnsi="Verdana"/>
          <w:color w:val="444444"/>
          <w:sz w:val="20"/>
          <w:szCs w:val="20"/>
          <w:lang w:eastAsia="cs-CZ"/>
        </w:rPr>
        <w:t xml:space="preserve">  </w:t>
      </w:r>
    </w:p>
    <w:sectPr w:rsidR="00B041CB" w:rsidSect="004F19C3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1CB" w:rsidRDefault="00B041CB" w:rsidP="00B041CB">
      <w:pPr>
        <w:spacing w:after="0" w:line="240" w:lineRule="auto"/>
      </w:pPr>
      <w:r>
        <w:separator/>
      </w:r>
    </w:p>
  </w:endnote>
  <w:endnote w:type="continuationSeparator" w:id="0">
    <w:p w:rsidR="00B041CB" w:rsidRDefault="00B041CB" w:rsidP="00B0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1CB" w:rsidRDefault="00B041CB" w:rsidP="00B041CB">
      <w:pPr>
        <w:spacing w:after="0" w:line="240" w:lineRule="auto"/>
      </w:pPr>
      <w:r>
        <w:separator/>
      </w:r>
    </w:p>
  </w:footnote>
  <w:footnote w:type="continuationSeparator" w:id="0">
    <w:p w:rsidR="00B041CB" w:rsidRDefault="00B041CB" w:rsidP="00B0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1CB" w:rsidRPr="00B041CB" w:rsidRDefault="00B041CB" w:rsidP="00B041CB">
    <w:pPr>
      <w:pStyle w:val="Zhlav"/>
      <w:jc w:val="center"/>
      <w:rPr>
        <w:b/>
        <w:bCs/>
        <w:sz w:val="32"/>
        <w:szCs w:val="32"/>
      </w:rPr>
    </w:pPr>
    <w:r w:rsidRPr="00B041CB">
      <w:rPr>
        <w:b/>
        <w:bCs/>
        <w:sz w:val="32"/>
        <w:szCs w:val="32"/>
      </w:rPr>
      <w:t>OBECNÍ ÚŘAD ADAMOV</w:t>
    </w:r>
  </w:p>
  <w:p w:rsidR="00B041CB" w:rsidRPr="00B041CB" w:rsidRDefault="00B041CB" w:rsidP="00B041CB">
    <w:pPr>
      <w:pStyle w:val="Zhlav"/>
      <w:jc w:val="center"/>
      <w:rPr>
        <w:b/>
        <w:bCs/>
        <w:sz w:val="32"/>
        <w:szCs w:val="32"/>
      </w:rPr>
    </w:pPr>
    <w:r w:rsidRPr="00B041CB">
      <w:rPr>
        <w:b/>
        <w:bCs/>
        <w:sz w:val="32"/>
        <w:szCs w:val="32"/>
      </w:rPr>
      <w:t xml:space="preserve">ADAMOV 62, 286 01 </w:t>
    </w:r>
    <w:r w:rsidR="00303DD9">
      <w:rPr>
        <w:b/>
        <w:bCs/>
        <w:sz w:val="32"/>
        <w:szCs w:val="32"/>
      </w:rPr>
      <w:t>ČÁSLAV</w:t>
    </w:r>
    <w:r w:rsidRPr="00B041CB">
      <w:rPr>
        <w:b/>
        <w:bCs/>
        <w:sz w:val="32"/>
        <w:szCs w:val="32"/>
      </w:rPr>
      <w:t>,</w:t>
    </w:r>
    <w:r w:rsidR="004A2EA1">
      <w:rPr>
        <w:b/>
        <w:bCs/>
        <w:sz w:val="32"/>
        <w:szCs w:val="32"/>
      </w:rPr>
      <w:t xml:space="preserve"> </w:t>
    </w:r>
    <w:r w:rsidRPr="00B041CB">
      <w:rPr>
        <w:b/>
        <w:bCs/>
        <w:sz w:val="32"/>
        <w:szCs w:val="32"/>
      </w:rPr>
      <w:t xml:space="preserve">IČ: </w:t>
    </w:r>
    <w:proofErr w:type="gramStart"/>
    <w:r w:rsidRPr="00B041CB">
      <w:rPr>
        <w:b/>
        <w:bCs/>
        <w:sz w:val="32"/>
        <w:szCs w:val="32"/>
      </w:rPr>
      <w:t>00639664 ,</w:t>
    </w:r>
    <w:proofErr w:type="gramEnd"/>
    <w:r w:rsidRPr="00B041CB">
      <w:rPr>
        <w:b/>
        <w:bCs/>
        <w:sz w:val="32"/>
        <w:szCs w:val="32"/>
      </w:rPr>
      <w:t xml:space="preserve"> TEL. 327 371291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B470B"/>
    <w:multiLevelType w:val="hybridMultilevel"/>
    <w:tmpl w:val="7BF876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A7"/>
    <w:rsid w:val="00303DD9"/>
    <w:rsid w:val="004A2EA1"/>
    <w:rsid w:val="004F19C3"/>
    <w:rsid w:val="005B6AD2"/>
    <w:rsid w:val="00B041CB"/>
    <w:rsid w:val="00D717A7"/>
    <w:rsid w:val="00E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8005"/>
  <w15:chartTrackingRefBased/>
  <w15:docId w15:val="{57972E31-2EDD-465F-A086-CA6F8025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7A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EC2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7A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C2C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zodpovida">
    <w:name w:val="zodpovida"/>
    <w:basedOn w:val="Standardnpsmoodstavce"/>
    <w:rsid w:val="00EC2CE5"/>
  </w:style>
  <w:style w:type="character" w:styleId="Hypertextovodkaz">
    <w:name w:val="Hyperlink"/>
    <w:basedOn w:val="Standardnpsmoodstavce"/>
    <w:uiPriority w:val="99"/>
    <w:semiHidden/>
    <w:unhideWhenUsed/>
    <w:rsid w:val="00EC2C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1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87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Obec1</dc:creator>
  <cp:keywords/>
  <dc:description/>
  <cp:lastModifiedBy>Obec1</cp:lastModifiedBy>
  <cp:revision>2</cp:revision>
  <cp:lastPrinted>2020-07-07T12:50:00Z</cp:lastPrinted>
  <dcterms:created xsi:type="dcterms:W3CDTF">2020-07-01T05:54:00Z</dcterms:created>
  <dcterms:modified xsi:type="dcterms:W3CDTF">2020-07-07T12:51:00Z</dcterms:modified>
</cp:coreProperties>
</file>